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386" w:rsidRPr="005D7C30" w:rsidRDefault="000E6386" w:rsidP="00E8384B">
      <w:pPr>
        <w:autoSpaceDE w:val="0"/>
        <w:autoSpaceDN w:val="0"/>
        <w:adjustRightInd w:val="0"/>
        <w:spacing w:after="200" w:line="360" w:lineRule="auto"/>
        <w:jc w:val="center"/>
        <w:rPr>
          <w:sz w:val="28"/>
          <w:szCs w:val="28"/>
        </w:rPr>
      </w:pPr>
      <w:bookmarkStart w:id="0" w:name="_GoBack"/>
      <w:bookmarkEnd w:id="0"/>
      <w:r w:rsidRPr="005D7C30">
        <w:rPr>
          <w:b/>
          <w:bCs/>
          <w:sz w:val="28"/>
          <w:szCs w:val="28"/>
        </w:rPr>
        <w:t>ANÁLISE DAS CONTRIBUIÇÕES DA MONITORIA NO DESENVOLVIMENTO DA PESQUISA E INCENTIVO À DOCÊNCIA</w:t>
      </w:r>
    </w:p>
    <w:p w:rsidR="000C3F41" w:rsidRPr="005D7C30" w:rsidRDefault="000C3F41" w:rsidP="000C3F41">
      <w:pPr>
        <w:autoSpaceDE w:val="0"/>
        <w:autoSpaceDN w:val="0"/>
        <w:adjustRightInd w:val="0"/>
        <w:jc w:val="right"/>
      </w:pPr>
      <w:r w:rsidRPr="005D7C30">
        <w:t>Aline P</w:t>
      </w:r>
      <w:r w:rsidR="000A54AF" w:rsidRPr="005D7C30">
        <w:t>ereira de Oliveira¹</w:t>
      </w:r>
      <w:r w:rsidR="005D7C30">
        <w:t>;</w:t>
      </w:r>
      <w:r w:rsidRPr="005D7C30">
        <w:t xml:space="preserve"> </w:t>
      </w:r>
      <w:r w:rsidR="000A54AF" w:rsidRPr="005D7C30">
        <w:t>R</w:t>
      </w:r>
      <w:r w:rsidRPr="005D7C30">
        <w:t>osália M</w:t>
      </w:r>
      <w:r w:rsidR="000A54AF" w:rsidRPr="005D7C30">
        <w:t>aria</w:t>
      </w:r>
      <w:r w:rsidRPr="005D7C30">
        <w:t xml:space="preserve"> C</w:t>
      </w:r>
      <w:r w:rsidR="000A54AF" w:rsidRPr="005D7C30">
        <w:t>osta Soares¹</w:t>
      </w:r>
      <w:r w:rsidRPr="005D7C30">
        <w:t xml:space="preserve">; Nely </w:t>
      </w:r>
      <w:r w:rsidR="000A54AF" w:rsidRPr="005D7C30">
        <w:t xml:space="preserve">de </w:t>
      </w:r>
      <w:r w:rsidRPr="005D7C30">
        <w:t>A</w:t>
      </w:r>
      <w:r w:rsidR="000A54AF" w:rsidRPr="005D7C30">
        <w:t xml:space="preserve">lmeida </w:t>
      </w:r>
      <w:proofErr w:type="gramStart"/>
      <w:r w:rsidR="000A54AF" w:rsidRPr="005D7C30">
        <w:t>Pedrosa²</w:t>
      </w:r>
      <w:proofErr w:type="gramEnd"/>
    </w:p>
    <w:p w:rsidR="000A54AF" w:rsidRPr="005D7C30" w:rsidRDefault="000A54AF" w:rsidP="000C3F41">
      <w:pPr>
        <w:autoSpaceDE w:val="0"/>
        <w:autoSpaceDN w:val="0"/>
        <w:adjustRightInd w:val="0"/>
        <w:jc w:val="right"/>
      </w:pPr>
      <w:proofErr w:type="gramStart"/>
      <w:r w:rsidRPr="005D7C30">
        <w:t>¹Bolsista</w:t>
      </w:r>
      <w:proofErr w:type="gramEnd"/>
    </w:p>
    <w:p w:rsidR="000A54AF" w:rsidRPr="005D7C30" w:rsidRDefault="000A54AF" w:rsidP="000C3F41">
      <w:pPr>
        <w:autoSpaceDE w:val="0"/>
        <w:autoSpaceDN w:val="0"/>
        <w:adjustRightInd w:val="0"/>
        <w:jc w:val="right"/>
      </w:pPr>
      <w:proofErr w:type="gramStart"/>
      <w:r w:rsidRPr="005D7C30">
        <w:t>²Professor</w:t>
      </w:r>
      <w:proofErr w:type="gramEnd"/>
      <w:r w:rsidRPr="005D7C30">
        <w:t xml:space="preserve"> Orientador</w:t>
      </w:r>
    </w:p>
    <w:p w:rsidR="00FB0272" w:rsidRPr="005D7C30" w:rsidRDefault="000C3F41" w:rsidP="000C3F41">
      <w:pPr>
        <w:autoSpaceDE w:val="0"/>
        <w:autoSpaceDN w:val="0"/>
        <w:adjustRightInd w:val="0"/>
        <w:jc w:val="right"/>
        <w:rPr>
          <w:bCs/>
        </w:rPr>
      </w:pPr>
      <w:r w:rsidRPr="005D7C30">
        <w:rPr>
          <w:bCs/>
        </w:rPr>
        <w:t xml:space="preserve">Centro de Tecnologia e Desenvolvimento Regional / Departamento de Tecnologia de Alimentos / </w:t>
      </w:r>
      <w:r w:rsidR="00D32E32" w:rsidRPr="005D7C30">
        <w:rPr>
          <w:bCs/>
        </w:rPr>
        <w:t>MONITORIA</w:t>
      </w:r>
    </w:p>
    <w:p w:rsidR="006C4168" w:rsidRPr="005D7C30" w:rsidRDefault="006C4168" w:rsidP="006C4168">
      <w:pPr>
        <w:autoSpaceDE w:val="0"/>
        <w:autoSpaceDN w:val="0"/>
        <w:adjustRightInd w:val="0"/>
        <w:jc w:val="right"/>
        <w:rPr>
          <w:bCs/>
        </w:rPr>
      </w:pPr>
      <w:r w:rsidRPr="005D7C30">
        <w:rPr>
          <w:bCs/>
          <w:i/>
        </w:rPr>
        <w:t xml:space="preserve"> </w:t>
      </w:r>
    </w:p>
    <w:p w:rsidR="000E6386" w:rsidRPr="005D7C30" w:rsidRDefault="000E6386" w:rsidP="000E6386">
      <w:pPr>
        <w:autoSpaceDE w:val="0"/>
        <w:autoSpaceDN w:val="0"/>
        <w:adjustRightInd w:val="0"/>
        <w:spacing w:line="360" w:lineRule="auto"/>
        <w:jc w:val="both"/>
        <w:rPr>
          <w:b/>
          <w:bCs/>
        </w:rPr>
      </w:pPr>
      <w:proofErr w:type="gramStart"/>
      <w:r w:rsidRPr="005D7C30">
        <w:rPr>
          <w:b/>
          <w:bCs/>
        </w:rPr>
        <w:t>1</w:t>
      </w:r>
      <w:proofErr w:type="gramEnd"/>
      <w:r w:rsidRPr="005D7C30">
        <w:rPr>
          <w:b/>
          <w:bCs/>
        </w:rPr>
        <w:t xml:space="preserve"> INTRODUÇÃO</w:t>
      </w:r>
    </w:p>
    <w:p w:rsidR="000E6386" w:rsidRPr="005D7C30" w:rsidRDefault="000E6386" w:rsidP="000E6386">
      <w:pPr>
        <w:autoSpaceDE w:val="0"/>
        <w:autoSpaceDN w:val="0"/>
        <w:adjustRightInd w:val="0"/>
        <w:spacing w:line="360" w:lineRule="auto"/>
        <w:ind w:firstLine="708"/>
        <w:jc w:val="both"/>
      </w:pPr>
      <w:r w:rsidRPr="005D7C30">
        <w:t xml:space="preserve">Este trabalho tem por finalidade apresentar a atuação da monitoria </w:t>
      </w:r>
      <w:r w:rsidR="008F1659" w:rsidRPr="005D7C30">
        <w:t xml:space="preserve">da disciplina </w:t>
      </w:r>
      <w:r w:rsidRPr="005D7C30">
        <w:t xml:space="preserve">de Metodologia do </w:t>
      </w:r>
      <w:r w:rsidR="008F1659" w:rsidRPr="005D7C30">
        <w:t>Trabalho Científico ministrada n</w:t>
      </w:r>
      <w:r w:rsidRPr="005D7C30">
        <w:t>o curso de Tecnologia de Alimentos do Centro de Tecnologia e Desenvolvimento Regional (CTDR) na Univers</w:t>
      </w:r>
      <w:r w:rsidR="00723932" w:rsidRPr="005D7C30">
        <w:t>idade Federal da Paraíba (UFPB)</w:t>
      </w:r>
      <w:r w:rsidR="008F1659" w:rsidRPr="005D7C30">
        <w:t>,</w:t>
      </w:r>
      <w:r w:rsidR="00723932" w:rsidRPr="005D7C30">
        <w:t xml:space="preserve"> no</w:t>
      </w:r>
      <w:r w:rsidR="008F1659" w:rsidRPr="005D7C30">
        <w:t>s</w:t>
      </w:r>
      <w:r w:rsidR="00723932" w:rsidRPr="005D7C30">
        <w:t xml:space="preserve"> período</w:t>
      </w:r>
      <w:r w:rsidR="008F1659" w:rsidRPr="005D7C30">
        <w:t>s</w:t>
      </w:r>
      <w:r w:rsidR="00723932" w:rsidRPr="005D7C30">
        <w:t xml:space="preserve"> de 2012.2 e 2013.1.</w:t>
      </w:r>
    </w:p>
    <w:p w:rsidR="000E6386" w:rsidRPr="005D7C30" w:rsidRDefault="000E6386" w:rsidP="000E6386">
      <w:pPr>
        <w:autoSpaceDE w:val="0"/>
        <w:autoSpaceDN w:val="0"/>
        <w:adjustRightInd w:val="0"/>
        <w:spacing w:line="360" w:lineRule="auto"/>
        <w:ind w:firstLine="708"/>
        <w:jc w:val="both"/>
      </w:pPr>
      <w:r w:rsidRPr="005D7C30">
        <w:t xml:space="preserve">A disciplina de Metodologia do Trabalho Científico é componente curricular obrigatório não só no curso de tecnologia de alimentos, mas em </w:t>
      </w:r>
      <w:r w:rsidR="008F1659" w:rsidRPr="005D7C30">
        <w:t>diversos</w:t>
      </w:r>
      <w:r w:rsidRPr="005D7C30">
        <w:t xml:space="preserve"> curso</w:t>
      </w:r>
      <w:r w:rsidR="008F1659" w:rsidRPr="005D7C30">
        <w:t>s</w:t>
      </w:r>
      <w:r w:rsidRPr="005D7C30">
        <w:t xml:space="preserve"> de graduação, onde estuda os fundamentos da metodologia científica, bem como as normas relativas à organ</w:t>
      </w:r>
      <w:r w:rsidR="008F1659" w:rsidRPr="005D7C30">
        <w:t>ização de trabalhos científicos, d</w:t>
      </w:r>
      <w:r w:rsidRPr="005D7C30">
        <w:t xml:space="preserve">esenvolvendo competências que permitam ao aluno realizar pesquisas e redigir trabalhos acadêmicos, adequando-os </w:t>
      </w:r>
      <w:proofErr w:type="gramStart"/>
      <w:r w:rsidRPr="005D7C30">
        <w:t>à</w:t>
      </w:r>
      <w:proofErr w:type="gramEnd"/>
      <w:r w:rsidRPr="005D7C30">
        <w:t xml:space="preserve"> normas </w:t>
      </w:r>
      <w:r w:rsidR="008F1659" w:rsidRPr="005D7C30">
        <w:t xml:space="preserve">como as </w:t>
      </w:r>
      <w:r w:rsidRPr="005D7C30">
        <w:t>da Associação Brasileira de Normas Técnicas (ABNT).</w:t>
      </w:r>
    </w:p>
    <w:p w:rsidR="00047A5F" w:rsidRPr="005D7C30" w:rsidRDefault="000E6386" w:rsidP="000E6386">
      <w:pPr>
        <w:autoSpaceDE w:val="0"/>
        <w:autoSpaceDN w:val="0"/>
        <w:adjustRightInd w:val="0"/>
        <w:spacing w:line="360" w:lineRule="auto"/>
        <w:ind w:firstLine="708"/>
        <w:jc w:val="both"/>
      </w:pPr>
      <w:r w:rsidRPr="005D7C30">
        <w:t>A referida disciplina busca</w:t>
      </w:r>
      <w:r w:rsidR="008F1659" w:rsidRPr="005D7C30">
        <w:t xml:space="preserve">, também, </w:t>
      </w:r>
      <w:r w:rsidRPr="005D7C30">
        <w:t xml:space="preserve">compreender e avaliar os vários métodos disponíveis para a realização de uma pesquisa acadêmica. </w:t>
      </w:r>
    </w:p>
    <w:p w:rsidR="000E6386" w:rsidRPr="005D7C30" w:rsidRDefault="00047A5F" w:rsidP="000E6386">
      <w:pPr>
        <w:autoSpaceDE w:val="0"/>
        <w:autoSpaceDN w:val="0"/>
        <w:adjustRightInd w:val="0"/>
        <w:spacing w:line="360" w:lineRule="auto"/>
        <w:ind w:firstLine="708"/>
        <w:jc w:val="both"/>
      </w:pPr>
      <w:r w:rsidRPr="005D7C30">
        <w:t>Ressalta-se que a m</w:t>
      </w:r>
      <w:r w:rsidR="000E6386" w:rsidRPr="005D7C30">
        <w:t xml:space="preserve">etodologia, em um nível aplicado, examina, descreve e </w:t>
      </w:r>
      <w:proofErr w:type="gramStart"/>
      <w:r w:rsidR="000E6386" w:rsidRPr="005D7C30">
        <w:t>avalia</w:t>
      </w:r>
      <w:proofErr w:type="gramEnd"/>
      <w:r w:rsidR="000E6386" w:rsidRPr="005D7C30">
        <w:t xml:space="preserve"> métodos e técnicas de pesquisa que possibilitam a coleta e o processamento de informações, visando ao encaminhamento e à resolução de problemas e/ou questões de investigação (PRADANOV; FREITAS, 2013).</w:t>
      </w:r>
    </w:p>
    <w:p w:rsidR="000E6386" w:rsidRPr="005D7C30" w:rsidRDefault="000E6386" w:rsidP="000E6386">
      <w:pPr>
        <w:autoSpaceDE w:val="0"/>
        <w:autoSpaceDN w:val="0"/>
        <w:adjustRightInd w:val="0"/>
        <w:spacing w:line="360" w:lineRule="auto"/>
        <w:ind w:firstLine="708"/>
        <w:jc w:val="both"/>
      </w:pPr>
      <w:proofErr w:type="spellStart"/>
      <w:r w:rsidRPr="005D7C30">
        <w:t>Pradanov</w:t>
      </w:r>
      <w:proofErr w:type="spellEnd"/>
      <w:r w:rsidRPr="005D7C30">
        <w:t xml:space="preserve"> e Freitas (2013) dizem ainda que a metodologia é a aplicação de procedimentos e técnicas que devem ser observados para</w:t>
      </w:r>
      <w:r w:rsidR="00047A5F" w:rsidRPr="005D7C30">
        <w:t xml:space="preserve"> a</w:t>
      </w:r>
      <w:r w:rsidRPr="005D7C30">
        <w:t xml:space="preserve"> construção do conhecimento, com o propósito de comprovar sua validade e utilidade nos diversos âmbitos da sociedade.</w:t>
      </w:r>
    </w:p>
    <w:p w:rsidR="00FA5D7B" w:rsidRPr="005D7C30" w:rsidRDefault="000E6386" w:rsidP="003C77CE">
      <w:pPr>
        <w:autoSpaceDE w:val="0"/>
        <w:autoSpaceDN w:val="0"/>
        <w:adjustRightInd w:val="0"/>
        <w:spacing w:line="360" w:lineRule="auto"/>
        <w:ind w:firstLine="708"/>
        <w:jc w:val="both"/>
        <w:sectPr w:rsidR="00FA5D7B" w:rsidRPr="005D7C30" w:rsidSect="00670DFA">
          <w:headerReference w:type="default" r:id="rId8"/>
          <w:footerReference w:type="default" r:id="rId9"/>
          <w:pgSz w:w="11907" w:h="16840" w:code="9"/>
          <w:pgMar w:top="1701" w:right="1134" w:bottom="1134" w:left="1701" w:header="720" w:footer="720" w:gutter="0"/>
          <w:cols w:space="720"/>
          <w:noEndnote/>
        </w:sectPr>
      </w:pPr>
      <w:r w:rsidRPr="005D7C30">
        <w:t>Nesse sentido a monitoria visa despertar o interesse a carreira docente promovendo a cooperação entre discente e docente para que assim minimize problemas de reprovação,</w:t>
      </w:r>
      <w:proofErr w:type="gramStart"/>
    </w:p>
    <w:p w:rsidR="003C77CE" w:rsidRPr="005D7C30" w:rsidRDefault="00FA5D7B" w:rsidP="00FA5D7B">
      <w:pPr>
        <w:autoSpaceDE w:val="0"/>
        <w:autoSpaceDN w:val="0"/>
        <w:adjustRightInd w:val="0"/>
        <w:spacing w:line="360" w:lineRule="auto"/>
        <w:jc w:val="both"/>
      </w:pPr>
      <w:r w:rsidRPr="005D7C30">
        <w:lastRenderedPageBreak/>
        <w:t>e</w:t>
      </w:r>
      <w:r w:rsidR="000E6386" w:rsidRPr="005D7C30">
        <w:t>vasão</w:t>
      </w:r>
      <w:proofErr w:type="gramEnd"/>
      <w:r w:rsidR="000E6386" w:rsidRPr="005D7C30">
        <w:t xml:space="preserve"> e falta de motivação na disciplina, contribuindo para a melhoria do ensino (BRASIL, 1996). O monitor tem um papel fundamental nessa melhoria, principalmente para aqueles que possuem certa dificuldade de comunicação com o do</w:t>
      </w:r>
      <w:r w:rsidR="003C77CE" w:rsidRPr="005D7C30">
        <w:t xml:space="preserve">cente ou ainda para aqueles que persistem com dúvidas após as </w:t>
      </w:r>
      <w:r w:rsidR="000E6386" w:rsidRPr="005D7C30">
        <w:t>aula</w:t>
      </w:r>
      <w:r w:rsidR="003C77CE" w:rsidRPr="005D7C30">
        <w:t xml:space="preserve">s. </w:t>
      </w:r>
    </w:p>
    <w:p w:rsidR="000E6386" w:rsidRPr="005D7C30" w:rsidRDefault="008F1659" w:rsidP="008F1659">
      <w:pPr>
        <w:autoSpaceDE w:val="0"/>
        <w:autoSpaceDN w:val="0"/>
        <w:adjustRightInd w:val="0"/>
        <w:spacing w:line="360" w:lineRule="auto"/>
        <w:ind w:firstLine="708"/>
        <w:jc w:val="both"/>
      </w:pPr>
      <w:r w:rsidRPr="005D7C30">
        <w:t>H</w:t>
      </w:r>
      <w:r w:rsidR="000E6386" w:rsidRPr="005D7C30">
        <w:t>á uma dificuldade na realização de trabalhos acadêmicos ricos em informações científicas, isso se deve a falta de uma pesquisa de qualidade, pois esta é uma habilidade fundamental nos cursos de graduação, uma vez que constitui o primeiro passo para</w:t>
      </w:r>
      <w:r w:rsidRPr="005D7C30">
        <w:t xml:space="preserve"> todas as atividades acadêmicas.</w:t>
      </w:r>
      <w:r w:rsidR="000E6386" w:rsidRPr="005D7C30">
        <w:t xml:space="preserve"> </w:t>
      </w:r>
      <w:r w:rsidRPr="005D7C30">
        <w:t>A</w:t>
      </w:r>
      <w:r w:rsidR="000E6386" w:rsidRPr="005D7C30">
        <w:t xml:space="preserve"> pesquisa e a ciência interligam-se, gerando assim o conhecimento como resultado dessa interação. </w:t>
      </w:r>
    </w:p>
    <w:p w:rsidR="00047A5F" w:rsidRPr="005D7C30" w:rsidRDefault="00047A5F" w:rsidP="000E6386">
      <w:pPr>
        <w:autoSpaceDE w:val="0"/>
        <w:autoSpaceDN w:val="0"/>
        <w:adjustRightInd w:val="0"/>
        <w:spacing w:after="200" w:line="360" w:lineRule="auto"/>
        <w:ind w:firstLine="708"/>
        <w:jc w:val="both"/>
      </w:pPr>
    </w:p>
    <w:p w:rsidR="000E6386" w:rsidRPr="005D7C30" w:rsidRDefault="000E6386" w:rsidP="000E6386">
      <w:pPr>
        <w:autoSpaceDE w:val="0"/>
        <w:autoSpaceDN w:val="0"/>
        <w:adjustRightInd w:val="0"/>
        <w:spacing w:line="360" w:lineRule="auto"/>
        <w:jc w:val="both"/>
        <w:rPr>
          <w:b/>
          <w:bCs/>
        </w:rPr>
      </w:pPr>
      <w:proofErr w:type="gramStart"/>
      <w:r w:rsidRPr="005D7C30">
        <w:rPr>
          <w:b/>
          <w:bCs/>
        </w:rPr>
        <w:t>2</w:t>
      </w:r>
      <w:proofErr w:type="gramEnd"/>
      <w:r w:rsidRPr="005D7C30">
        <w:rPr>
          <w:b/>
          <w:bCs/>
        </w:rPr>
        <w:t xml:space="preserve"> METODOLOGIA</w:t>
      </w:r>
    </w:p>
    <w:p w:rsidR="000E6386" w:rsidRPr="005D7C30" w:rsidRDefault="000E6386" w:rsidP="000E6386">
      <w:pPr>
        <w:autoSpaceDE w:val="0"/>
        <w:autoSpaceDN w:val="0"/>
        <w:adjustRightInd w:val="0"/>
        <w:spacing w:line="360" w:lineRule="auto"/>
        <w:ind w:firstLine="708"/>
        <w:jc w:val="both"/>
      </w:pPr>
      <w:r w:rsidRPr="005D7C30">
        <w:t>Inicialmente monitora e professora participaram do Programa de Treinamento no uso do Portal de Periódicos da C</w:t>
      </w:r>
      <w:r w:rsidR="00723932" w:rsidRPr="005D7C30">
        <w:t xml:space="preserve">oordenação de </w:t>
      </w:r>
      <w:r w:rsidRPr="005D7C30">
        <w:t>A</w:t>
      </w:r>
      <w:r w:rsidR="00723932" w:rsidRPr="005D7C30">
        <w:t xml:space="preserve">perfeiçoamento de </w:t>
      </w:r>
      <w:r w:rsidRPr="005D7C30">
        <w:t>P</w:t>
      </w:r>
      <w:r w:rsidR="00723932" w:rsidRPr="005D7C30">
        <w:t xml:space="preserve">essoal de Nível </w:t>
      </w:r>
      <w:r w:rsidRPr="005D7C30">
        <w:t>S</w:t>
      </w:r>
      <w:r w:rsidR="00723932" w:rsidRPr="005D7C30">
        <w:t>uperior (CAPES)</w:t>
      </w:r>
      <w:r w:rsidRPr="005D7C30">
        <w:t xml:space="preserve">, no período de </w:t>
      </w:r>
      <w:smartTag w:uri="urn:schemas-microsoft-com:office:smarttags" w:element="metricconverter">
        <w:smartTagPr>
          <w:attr w:name="ProductID" w:val="29 a"/>
        </w:smartTagPr>
        <w:r w:rsidRPr="005D7C30">
          <w:t>29 a</w:t>
        </w:r>
      </w:smartTag>
      <w:r w:rsidRPr="005D7C30">
        <w:t xml:space="preserve"> 30 de janeiro de 2013, com carga horária de 16 horas - aula. </w:t>
      </w:r>
    </w:p>
    <w:p w:rsidR="000E6386" w:rsidRPr="005D7C30" w:rsidRDefault="000E6386" w:rsidP="000E6386">
      <w:pPr>
        <w:autoSpaceDE w:val="0"/>
        <w:autoSpaceDN w:val="0"/>
        <w:adjustRightInd w:val="0"/>
        <w:spacing w:line="360" w:lineRule="auto"/>
        <w:ind w:firstLine="708"/>
        <w:jc w:val="both"/>
      </w:pPr>
      <w:r w:rsidRPr="005D7C30">
        <w:t>Após o treinamento, iniciou</w:t>
      </w:r>
      <w:r w:rsidR="008F1659" w:rsidRPr="005D7C30">
        <w:t>-se</w:t>
      </w:r>
      <w:r w:rsidRPr="005D7C30">
        <w:t xml:space="preserve"> propriamente a monitoria, onde as monitoras foram apresentadas a turma e definiu-se o local e horário de atendimento aos discentes, o mesmo foi </w:t>
      </w:r>
      <w:proofErr w:type="gramStart"/>
      <w:r w:rsidRPr="005D7C30">
        <w:t>a</w:t>
      </w:r>
      <w:proofErr w:type="gramEnd"/>
      <w:r w:rsidRPr="005D7C30">
        <w:t xml:space="preserve"> própria sala de aula e a Biblioteca do CTDR, além do atendimento presencial, </w:t>
      </w:r>
      <w:r w:rsidR="008F1659" w:rsidRPr="005D7C30">
        <w:t>houve</w:t>
      </w:r>
      <w:r w:rsidRPr="005D7C30">
        <w:t xml:space="preserve"> também atendimento via internet e telefone, totalizando uma carga horária semanal de 12 h.</w:t>
      </w:r>
    </w:p>
    <w:p w:rsidR="000E6386" w:rsidRPr="005D7C30" w:rsidRDefault="000E6386" w:rsidP="000E6386">
      <w:pPr>
        <w:autoSpaceDE w:val="0"/>
        <w:autoSpaceDN w:val="0"/>
        <w:adjustRightInd w:val="0"/>
        <w:spacing w:line="360" w:lineRule="auto"/>
        <w:ind w:firstLine="708"/>
        <w:jc w:val="both"/>
      </w:pPr>
      <w:r w:rsidRPr="005D7C30">
        <w:t xml:space="preserve">Ofertou-se </w:t>
      </w:r>
      <w:r w:rsidR="008F1659" w:rsidRPr="005D7C30">
        <w:t>à</w:t>
      </w:r>
      <w:r w:rsidRPr="005D7C30">
        <w:t xml:space="preserve">s turmas uma palestra sobre o Portal de Periódicos da CAPES, objetivando mostrar aos alunos como utilizar o Portal, as diversas formas de pesquisa e cadastro no Portal. </w:t>
      </w:r>
    </w:p>
    <w:p w:rsidR="000E6386" w:rsidRPr="005D7C30" w:rsidRDefault="000E6386" w:rsidP="000E6386">
      <w:pPr>
        <w:autoSpaceDE w:val="0"/>
        <w:autoSpaceDN w:val="0"/>
        <w:adjustRightInd w:val="0"/>
        <w:spacing w:line="360" w:lineRule="auto"/>
        <w:ind w:firstLine="708"/>
        <w:jc w:val="both"/>
      </w:pPr>
      <w:r w:rsidRPr="005D7C30">
        <w:t>Os alunos receberam</w:t>
      </w:r>
      <w:r w:rsidR="007D2646" w:rsidRPr="005D7C30">
        <w:t>,</w:t>
      </w:r>
      <w:r w:rsidRPr="005D7C30">
        <w:t xml:space="preserve"> via e-mail</w:t>
      </w:r>
      <w:r w:rsidR="007D2646" w:rsidRPr="005D7C30">
        <w:t>,</w:t>
      </w:r>
      <w:r w:rsidRPr="005D7C30">
        <w:t xml:space="preserve"> orientação de como ter acesso em sua residência ao Portal de </w:t>
      </w:r>
      <w:proofErr w:type="gramStart"/>
      <w:r w:rsidRPr="005D7C30">
        <w:t>Periódicos através do navegador Firefox</w:t>
      </w:r>
      <w:proofErr w:type="gramEnd"/>
      <w:r w:rsidRPr="005D7C30">
        <w:t xml:space="preserve"> UFPB, já que muitas bases de dados </w:t>
      </w:r>
      <w:r w:rsidRPr="005D7C30">
        <w:rPr>
          <w:color w:val="000000"/>
          <w:highlight w:val="white"/>
        </w:rPr>
        <w:t>limitam o acesso apenas à rede da UFPB.</w:t>
      </w:r>
      <w:r w:rsidRPr="005D7C30">
        <w:t xml:space="preserve"> </w:t>
      </w:r>
    </w:p>
    <w:p w:rsidR="000E6386" w:rsidRPr="005D7C30" w:rsidRDefault="008F1659" w:rsidP="000E6386">
      <w:pPr>
        <w:autoSpaceDE w:val="0"/>
        <w:autoSpaceDN w:val="0"/>
        <w:adjustRightInd w:val="0"/>
        <w:spacing w:line="360" w:lineRule="auto"/>
        <w:ind w:firstLine="708"/>
        <w:jc w:val="both"/>
      </w:pPr>
      <w:r w:rsidRPr="005D7C30">
        <w:t xml:space="preserve">Foi oferecida </w:t>
      </w:r>
      <w:proofErr w:type="gramStart"/>
      <w:r w:rsidRPr="005D7C30">
        <w:t>à</w:t>
      </w:r>
      <w:proofErr w:type="gramEnd"/>
      <w:r w:rsidR="000E6386" w:rsidRPr="005D7C30">
        <w:t xml:space="preserve"> todas as turmas uma visita a Biblioteca Central como meio de contato com a biblioteca, nessa oportuni</w:t>
      </w:r>
      <w:r w:rsidR="007D2646" w:rsidRPr="005D7C30">
        <w:t>dade as bibliotecárias orientaram</w:t>
      </w:r>
      <w:r w:rsidR="000E6386" w:rsidRPr="005D7C30">
        <w:t xml:space="preserve"> as formas de busca ao acervo, cadastro no S</w:t>
      </w:r>
      <w:r w:rsidR="00723932" w:rsidRPr="005D7C30">
        <w:t xml:space="preserve">istema </w:t>
      </w:r>
      <w:r w:rsidR="000E6386" w:rsidRPr="005D7C30">
        <w:t>I</w:t>
      </w:r>
      <w:r w:rsidR="00723932" w:rsidRPr="005D7C30">
        <w:t xml:space="preserve">ntegrado de </w:t>
      </w:r>
      <w:r w:rsidR="000E6386" w:rsidRPr="005D7C30">
        <w:t>G</w:t>
      </w:r>
      <w:r w:rsidR="00723932" w:rsidRPr="005D7C30">
        <w:t xml:space="preserve">estão de </w:t>
      </w:r>
      <w:r w:rsidR="000E6386" w:rsidRPr="005D7C30">
        <w:t>A</w:t>
      </w:r>
      <w:r w:rsidR="00723932" w:rsidRPr="005D7C30">
        <w:t>tividades Acadêmicas (SIGAA)</w:t>
      </w:r>
      <w:r w:rsidR="000E6386" w:rsidRPr="005D7C30">
        <w:t xml:space="preserve">, site do CTDR e incentivaram os discentes </w:t>
      </w:r>
      <w:r w:rsidRPr="005D7C30">
        <w:t>a</w:t>
      </w:r>
      <w:r w:rsidR="000E6386" w:rsidRPr="005D7C30">
        <w:t xml:space="preserve"> utiliz</w:t>
      </w:r>
      <w:r w:rsidRPr="005D7C30">
        <w:t>ar</w:t>
      </w:r>
      <w:r w:rsidR="000E6386" w:rsidRPr="005D7C30">
        <w:t xml:space="preserve"> </w:t>
      </w:r>
      <w:r w:rsidRPr="005D7C30">
        <w:t xml:space="preserve">habitualmente </w:t>
      </w:r>
      <w:r w:rsidR="000E6386" w:rsidRPr="005D7C30">
        <w:t>os serviços das bibliotecas.</w:t>
      </w:r>
    </w:p>
    <w:p w:rsidR="000E6386" w:rsidRPr="005D7C30" w:rsidRDefault="000E6386" w:rsidP="000E6386">
      <w:pPr>
        <w:autoSpaceDE w:val="0"/>
        <w:autoSpaceDN w:val="0"/>
        <w:adjustRightInd w:val="0"/>
        <w:spacing w:line="360" w:lineRule="auto"/>
        <w:ind w:firstLine="708"/>
        <w:jc w:val="both"/>
      </w:pPr>
      <w:r w:rsidRPr="005D7C30">
        <w:t xml:space="preserve">Mensalmente os monitores enviaram </w:t>
      </w:r>
      <w:r w:rsidR="00F5604A" w:rsidRPr="005D7C30">
        <w:t xml:space="preserve">para </w:t>
      </w:r>
      <w:r w:rsidRPr="005D7C30">
        <w:t>a orientadora um relatório das atividades realizadas no período, constando entre outras informações as principais dúvidas dos alunos.</w:t>
      </w:r>
    </w:p>
    <w:p w:rsidR="007D2646" w:rsidRPr="005D7C30" w:rsidRDefault="007D2646" w:rsidP="000E6386">
      <w:pPr>
        <w:autoSpaceDE w:val="0"/>
        <w:autoSpaceDN w:val="0"/>
        <w:adjustRightInd w:val="0"/>
        <w:spacing w:line="360" w:lineRule="auto"/>
        <w:jc w:val="both"/>
        <w:rPr>
          <w:b/>
          <w:bCs/>
        </w:rPr>
      </w:pPr>
    </w:p>
    <w:p w:rsidR="007D2646" w:rsidRPr="005D7C30" w:rsidRDefault="000E6386" w:rsidP="000E6386">
      <w:pPr>
        <w:autoSpaceDE w:val="0"/>
        <w:autoSpaceDN w:val="0"/>
        <w:adjustRightInd w:val="0"/>
        <w:spacing w:line="360" w:lineRule="auto"/>
        <w:jc w:val="both"/>
        <w:rPr>
          <w:b/>
          <w:bCs/>
        </w:rPr>
      </w:pPr>
      <w:proofErr w:type="gramStart"/>
      <w:r w:rsidRPr="005D7C30">
        <w:rPr>
          <w:b/>
          <w:bCs/>
        </w:rPr>
        <w:t>3</w:t>
      </w:r>
      <w:proofErr w:type="gramEnd"/>
      <w:r w:rsidRPr="005D7C30">
        <w:rPr>
          <w:b/>
          <w:bCs/>
        </w:rPr>
        <w:t xml:space="preserve"> RESULTADOS E DISCUSSÕES</w:t>
      </w:r>
    </w:p>
    <w:p w:rsidR="000E6386" w:rsidRPr="005D7C30" w:rsidRDefault="000E6386" w:rsidP="007D2646">
      <w:pPr>
        <w:autoSpaceDE w:val="0"/>
        <w:autoSpaceDN w:val="0"/>
        <w:adjustRightInd w:val="0"/>
        <w:spacing w:line="360" w:lineRule="auto"/>
        <w:jc w:val="both"/>
      </w:pPr>
      <w:r w:rsidRPr="005D7C30">
        <w:rPr>
          <w:b/>
          <w:bCs/>
        </w:rPr>
        <w:lastRenderedPageBreak/>
        <w:t xml:space="preserve"> </w:t>
      </w:r>
      <w:r w:rsidR="007D2646" w:rsidRPr="005D7C30">
        <w:rPr>
          <w:b/>
          <w:bCs/>
        </w:rPr>
        <w:tab/>
      </w:r>
      <w:r w:rsidRPr="005D7C30">
        <w:t xml:space="preserve">Evidenciou-se que a monitoria contribui significativamente para </w:t>
      </w:r>
      <w:proofErr w:type="gramStart"/>
      <w:r w:rsidRPr="005D7C30">
        <w:t>o despertar</w:t>
      </w:r>
      <w:proofErr w:type="gramEnd"/>
      <w:r w:rsidRPr="005D7C30">
        <w:t xml:space="preserve"> da docência, porém  a maioria dos discentes matriculados na disciplina ainda não construíram o hábito de recorrer aos monitores com uma maior frequência, além de apresentarem algumas  dificuldades com relação a normatização de trabalhos acadêmicos </w:t>
      </w:r>
      <w:r w:rsidR="00F5604A" w:rsidRPr="005D7C30">
        <w:t>de acordo com as normas da ABNT e também com relação à qualidade do</w:t>
      </w:r>
      <w:r w:rsidRPr="005D7C30">
        <w:t xml:space="preserve"> conteúdo</w:t>
      </w:r>
      <w:r w:rsidR="00F5604A" w:rsidRPr="005D7C30">
        <w:t>. C</w:t>
      </w:r>
      <w:r w:rsidRPr="005D7C30">
        <w:t>om isso</w:t>
      </w:r>
      <w:r w:rsidR="00F5604A" w:rsidRPr="005D7C30">
        <w:t>,</w:t>
      </w:r>
      <w:r w:rsidRPr="005D7C30">
        <w:t xml:space="preserve"> procurou-se mostrar de forma mais clara, através de ferr</w:t>
      </w:r>
      <w:r w:rsidR="007D2646" w:rsidRPr="005D7C30">
        <w:t>amentas de pesquisa como realizá</w:t>
      </w:r>
      <w:r w:rsidRPr="005D7C30">
        <w:t>-los, e com isso enriquecer sua pesquisa, aumentando seu conhecimento através da leitura, Andrade (2010</w:t>
      </w:r>
      <w:r w:rsidR="007D2646" w:rsidRPr="005D7C30">
        <w:t>,</w:t>
      </w:r>
      <w:r w:rsidR="00723932" w:rsidRPr="005D7C30">
        <w:t xml:space="preserve"> p.6</w:t>
      </w:r>
      <w:r w:rsidRPr="005D7C30">
        <w:t xml:space="preserve">) diz que “aprender a ler não é uma tarefa tão simples, pois, exige uma postura crítica, sistemática, uma disciplina intelectual por parte do leitor e esses requisitos básicos só podem ser adquiridos através da prática”. </w:t>
      </w:r>
    </w:p>
    <w:p w:rsidR="00C7287D" w:rsidRPr="005D7C30" w:rsidRDefault="000E6386" w:rsidP="000E6386">
      <w:pPr>
        <w:autoSpaceDE w:val="0"/>
        <w:autoSpaceDN w:val="0"/>
        <w:adjustRightInd w:val="0"/>
        <w:spacing w:line="360" w:lineRule="auto"/>
        <w:ind w:firstLine="708"/>
        <w:jc w:val="both"/>
      </w:pPr>
      <w:r w:rsidRPr="005D7C30">
        <w:t>Essa deficiência pode e</w:t>
      </w:r>
      <w:r w:rsidR="007D2646" w:rsidRPr="005D7C30">
        <w:t>sta</w:t>
      </w:r>
      <w:r w:rsidR="00F5604A" w:rsidRPr="005D7C30">
        <w:t xml:space="preserve">r relacionada </w:t>
      </w:r>
      <w:proofErr w:type="gramStart"/>
      <w:r w:rsidR="00F5604A" w:rsidRPr="005D7C30">
        <w:t>à</w:t>
      </w:r>
      <w:proofErr w:type="gramEnd"/>
      <w:r w:rsidRPr="005D7C30">
        <w:t xml:space="preserve"> vários fatores, um deles é o perfil da turma</w:t>
      </w:r>
      <w:r w:rsidR="00F5604A" w:rsidRPr="005D7C30">
        <w:t xml:space="preserve">. Na turma </w:t>
      </w:r>
      <w:r w:rsidRPr="005D7C30">
        <w:t>noturna, a maiori</w:t>
      </w:r>
      <w:r w:rsidR="007D2646" w:rsidRPr="005D7C30">
        <w:t xml:space="preserve">a </w:t>
      </w:r>
      <w:r w:rsidR="00F5604A" w:rsidRPr="005D7C30">
        <w:t xml:space="preserve">dos alunos </w:t>
      </w:r>
      <w:r w:rsidR="007D2646" w:rsidRPr="005D7C30">
        <w:t>trabalha durante o dia e, por essa razão não frequentaram</w:t>
      </w:r>
      <w:r w:rsidRPr="005D7C30">
        <w:t xml:space="preserve"> a mo</w:t>
      </w:r>
      <w:r w:rsidR="00F5604A" w:rsidRPr="005D7C30">
        <w:t>nitoria, embora o horário fosse</w:t>
      </w:r>
      <w:r w:rsidRPr="005D7C30">
        <w:t xml:space="preserve"> adaptado para isso, outro é em relação ao próprio curso, por se tratar de um curso </w:t>
      </w:r>
      <w:r w:rsidR="00F5604A" w:rsidRPr="005D7C30">
        <w:t xml:space="preserve">em </w:t>
      </w:r>
      <w:r w:rsidRPr="005D7C30">
        <w:t>que pesa bastante a área de exatas, há uma dificuldade maior na escrita comparado com a área de humanas, essa d</w:t>
      </w:r>
      <w:r w:rsidR="00C7287D" w:rsidRPr="005D7C30">
        <w:t>ificuldade pode ser mediana, tendo em</w:t>
      </w:r>
      <w:r w:rsidRPr="005D7C30">
        <w:t xml:space="preserve"> vista que o profissional</w:t>
      </w:r>
      <w:r w:rsidR="00F5604A" w:rsidRPr="005D7C30">
        <w:t>,</w:t>
      </w:r>
      <w:r w:rsidRPr="005D7C30">
        <w:t xml:space="preserve"> independente da área </w:t>
      </w:r>
      <w:r w:rsidR="00C7287D" w:rsidRPr="005D7C30">
        <w:t>em que atue</w:t>
      </w:r>
      <w:r w:rsidR="00F5604A" w:rsidRPr="005D7C30">
        <w:t>,</w:t>
      </w:r>
      <w:r w:rsidRPr="005D7C30">
        <w:t xml:space="preserve"> deve desen</w:t>
      </w:r>
      <w:r w:rsidR="00C7287D" w:rsidRPr="005D7C30">
        <w:t>volver essas habilidades.</w:t>
      </w:r>
    </w:p>
    <w:p w:rsidR="000E6386" w:rsidRPr="005D7C30" w:rsidRDefault="00C7287D" w:rsidP="009546B2">
      <w:pPr>
        <w:autoSpaceDE w:val="0"/>
        <w:autoSpaceDN w:val="0"/>
        <w:adjustRightInd w:val="0"/>
        <w:spacing w:line="360" w:lineRule="auto"/>
        <w:ind w:firstLine="708"/>
        <w:jc w:val="both"/>
      </w:pPr>
      <w:r w:rsidRPr="005D7C30">
        <w:t xml:space="preserve">Salienta-se ainda, que </w:t>
      </w:r>
      <w:r w:rsidR="009546B2" w:rsidRPr="005D7C30">
        <w:t xml:space="preserve">na atual conjuntura o mercado de trabalho </w:t>
      </w:r>
      <w:r w:rsidR="00F5604A" w:rsidRPr="005D7C30">
        <w:t>c</w:t>
      </w:r>
      <w:r w:rsidR="009546B2" w:rsidRPr="005D7C30">
        <w:t>ada vez mais exigente, demandando</w:t>
      </w:r>
      <w:r w:rsidR="000E6386" w:rsidRPr="005D7C30">
        <w:t xml:space="preserve"> não apenas</w:t>
      </w:r>
      <w:r w:rsidR="009546B2" w:rsidRPr="005D7C30">
        <w:t xml:space="preserve"> o conhecimento</w:t>
      </w:r>
      <w:r w:rsidR="000E6386" w:rsidRPr="005D7C30">
        <w:t>, mas</w:t>
      </w:r>
      <w:r w:rsidR="009546B2" w:rsidRPr="005D7C30">
        <w:t xml:space="preserve"> saber</w:t>
      </w:r>
      <w:r w:rsidR="000E6386" w:rsidRPr="005D7C30">
        <w:t xml:space="preserve"> aplicar esse conhecimento, ser multidisciplinar</w:t>
      </w:r>
      <w:r w:rsidR="009546B2" w:rsidRPr="005D7C30">
        <w:t xml:space="preserve"> e,</w:t>
      </w:r>
      <w:r w:rsidR="000E6386" w:rsidRPr="005D7C30">
        <w:t xml:space="preserve"> nesse</w:t>
      </w:r>
      <w:r w:rsidR="009546B2" w:rsidRPr="005D7C30">
        <w:t xml:space="preserve"> sentido, </w:t>
      </w:r>
      <w:r w:rsidR="000E6386" w:rsidRPr="005D7C30">
        <w:t>aqueles que estiverem mais preparados já terão um passo a frente.</w:t>
      </w:r>
    </w:p>
    <w:p w:rsidR="000E6386" w:rsidRPr="005D7C30" w:rsidRDefault="000E6386" w:rsidP="000E6386">
      <w:pPr>
        <w:autoSpaceDE w:val="0"/>
        <w:autoSpaceDN w:val="0"/>
        <w:adjustRightInd w:val="0"/>
        <w:spacing w:line="360" w:lineRule="auto"/>
        <w:jc w:val="both"/>
        <w:rPr>
          <w:b/>
          <w:bCs/>
        </w:rPr>
      </w:pPr>
    </w:p>
    <w:p w:rsidR="000E6386" w:rsidRPr="005D7C30" w:rsidRDefault="000E6386" w:rsidP="000E6386">
      <w:pPr>
        <w:autoSpaceDE w:val="0"/>
        <w:autoSpaceDN w:val="0"/>
        <w:adjustRightInd w:val="0"/>
        <w:spacing w:line="360" w:lineRule="auto"/>
        <w:jc w:val="both"/>
        <w:rPr>
          <w:b/>
          <w:bCs/>
        </w:rPr>
      </w:pPr>
      <w:proofErr w:type="gramStart"/>
      <w:r w:rsidRPr="005D7C30">
        <w:rPr>
          <w:b/>
          <w:bCs/>
        </w:rPr>
        <w:t>4</w:t>
      </w:r>
      <w:proofErr w:type="gramEnd"/>
      <w:r w:rsidRPr="005D7C30">
        <w:rPr>
          <w:b/>
          <w:bCs/>
        </w:rPr>
        <w:t xml:space="preserve"> CONSIDERAÇÕES FINAIS</w:t>
      </w:r>
    </w:p>
    <w:p w:rsidR="000E6386" w:rsidRPr="005D7C30" w:rsidRDefault="000E6386" w:rsidP="000E6386">
      <w:pPr>
        <w:autoSpaceDE w:val="0"/>
        <w:autoSpaceDN w:val="0"/>
        <w:adjustRightInd w:val="0"/>
        <w:spacing w:line="360" w:lineRule="auto"/>
        <w:ind w:firstLine="708"/>
        <w:jc w:val="both"/>
      </w:pPr>
      <w:r w:rsidRPr="005D7C30">
        <w:t>As atividades desenvolvidas na monitoria foram de indiscutível importância para alcançar o objetivo principal mediante o processo ensino/aprendizagem, complementando o aprendizado dos alunos para que esses sejam capazes de buscar informações científicas, constituindo esse o caminho para conhecer a realidade ou verdades parciais e</w:t>
      </w:r>
      <w:r w:rsidR="009546B2" w:rsidRPr="005D7C30">
        <w:t>,</w:t>
      </w:r>
      <w:r w:rsidRPr="005D7C30">
        <w:t xml:space="preserve"> principalmente</w:t>
      </w:r>
      <w:r w:rsidR="009546B2" w:rsidRPr="005D7C30">
        <w:t>,</w:t>
      </w:r>
      <w:r w:rsidRPr="005D7C30">
        <w:t xml:space="preserve"> continuar gerando novas possibilidades </w:t>
      </w:r>
      <w:r w:rsidR="009546B2" w:rsidRPr="005D7C30">
        <w:t xml:space="preserve">para a ampliação </w:t>
      </w:r>
      <w:r w:rsidR="00F5604A" w:rsidRPr="005D7C30">
        <w:t xml:space="preserve">do </w:t>
      </w:r>
      <w:r w:rsidRPr="005D7C30">
        <w:t>conhecimento.</w:t>
      </w:r>
    </w:p>
    <w:p w:rsidR="009546B2" w:rsidRPr="005D7C30" w:rsidRDefault="000E6386" w:rsidP="000E6386">
      <w:pPr>
        <w:autoSpaceDE w:val="0"/>
        <w:autoSpaceDN w:val="0"/>
        <w:adjustRightInd w:val="0"/>
        <w:spacing w:after="200" w:line="360" w:lineRule="auto"/>
        <w:jc w:val="both"/>
      </w:pPr>
      <w:r w:rsidRPr="005D7C30">
        <w:tab/>
        <w:t>De um modo geral</w:t>
      </w:r>
      <w:r w:rsidR="009546B2" w:rsidRPr="005D7C30">
        <w:t xml:space="preserve">, fica comprovada a necessidade </w:t>
      </w:r>
      <w:r w:rsidRPr="005D7C30">
        <w:t xml:space="preserve">do incentivo a pesquisa e </w:t>
      </w:r>
      <w:r w:rsidR="00F5604A" w:rsidRPr="005D7C30">
        <w:t>d</w:t>
      </w:r>
      <w:r w:rsidRPr="005D7C30">
        <w:t>a disciplina de Metodologia do Trabalho Científico</w:t>
      </w:r>
      <w:r w:rsidR="009546B2" w:rsidRPr="005D7C30">
        <w:t>, pois tal componente curricular é imprescindível para que os discentes possam ter um maior embasamento para a produção acadêmica</w:t>
      </w:r>
      <w:r w:rsidR="00547C47" w:rsidRPr="005D7C30">
        <w:t xml:space="preserve">, </w:t>
      </w:r>
      <w:proofErr w:type="gramStart"/>
      <w:r w:rsidR="00547C47" w:rsidRPr="005D7C30">
        <w:t>seja</w:t>
      </w:r>
      <w:proofErr w:type="gramEnd"/>
      <w:r w:rsidR="00547C47" w:rsidRPr="005D7C30">
        <w:t xml:space="preserve"> através de portal de periódicos, onde há uma infinidade de bases de dados, ou livros, jornais, revistas, etc. como as normas para utilizar na elaboração de trabalhos, tanto acadêmicos como também no </w:t>
      </w:r>
      <w:r w:rsidR="00F5604A" w:rsidRPr="005D7C30">
        <w:t>próprio</w:t>
      </w:r>
      <w:r w:rsidR="00547C47" w:rsidRPr="005D7C30">
        <w:t xml:space="preserve"> Trabalho de Conclusão de Curso (TCC).</w:t>
      </w:r>
    </w:p>
    <w:p w:rsidR="000E6386" w:rsidRPr="005D7C30" w:rsidRDefault="00547C47" w:rsidP="000E6386">
      <w:pPr>
        <w:autoSpaceDE w:val="0"/>
        <w:autoSpaceDN w:val="0"/>
        <w:adjustRightInd w:val="0"/>
        <w:spacing w:after="200" w:line="360" w:lineRule="auto"/>
        <w:jc w:val="both"/>
      </w:pPr>
      <w:r w:rsidRPr="005D7C30">
        <w:lastRenderedPageBreak/>
        <w:tab/>
        <w:t>No tocante as contribuições da disciplina</w:t>
      </w:r>
      <w:r w:rsidR="00F5604A" w:rsidRPr="005D7C30">
        <w:t xml:space="preserve"> mencionada para os monitores, esta é</w:t>
      </w:r>
      <w:r w:rsidRPr="005D7C30">
        <w:t xml:space="preserve"> de ext</w:t>
      </w:r>
      <w:r w:rsidR="00F10E88" w:rsidRPr="005D7C30">
        <w:t>rema relevância, pois enriquece e amplia os</w:t>
      </w:r>
      <w:r w:rsidR="000E6386" w:rsidRPr="005D7C30">
        <w:t xml:space="preserve"> conhecimento</w:t>
      </w:r>
      <w:r w:rsidRPr="005D7C30">
        <w:t>s</w:t>
      </w:r>
      <w:r w:rsidR="000E6386" w:rsidRPr="005D7C30">
        <w:t xml:space="preserve">, </w:t>
      </w:r>
      <w:r w:rsidRPr="005D7C30">
        <w:t xml:space="preserve">despertando </w:t>
      </w:r>
      <w:r w:rsidR="000E6386" w:rsidRPr="005D7C30">
        <w:t>o desejo de participar em outras edições</w:t>
      </w:r>
      <w:r w:rsidRPr="005D7C30">
        <w:t xml:space="preserve"> como monitor e futuramente se inserir</w:t>
      </w:r>
      <w:r w:rsidR="000E6386" w:rsidRPr="005D7C30">
        <w:t xml:space="preserve"> no exercício da docência.</w:t>
      </w:r>
    </w:p>
    <w:p w:rsidR="00F5604A" w:rsidRPr="005D7C30" w:rsidRDefault="00F5604A" w:rsidP="000E6386">
      <w:pPr>
        <w:autoSpaceDE w:val="0"/>
        <w:autoSpaceDN w:val="0"/>
        <w:adjustRightInd w:val="0"/>
        <w:spacing w:after="200" w:line="360" w:lineRule="auto"/>
        <w:jc w:val="both"/>
        <w:rPr>
          <w:b/>
          <w:bCs/>
        </w:rPr>
      </w:pPr>
    </w:p>
    <w:p w:rsidR="000E6386" w:rsidRPr="005D7C30" w:rsidRDefault="000E6386" w:rsidP="000E6386">
      <w:pPr>
        <w:autoSpaceDE w:val="0"/>
        <w:autoSpaceDN w:val="0"/>
        <w:adjustRightInd w:val="0"/>
        <w:spacing w:after="200" w:line="360" w:lineRule="auto"/>
        <w:jc w:val="both"/>
        <w:rPr>
          <w:b/>
          <w:bCs/>
        </w:rPr>
      </w:pPr>
      <w:r w:rsidRPr="005D7C30">
        <w:rPr>
          <w:b/>
          <w:bCs/>
        </w:rPr>
        <w:t xml:space="preserve">REFERÊNCIAS </w:t>
      </w:r>
    </w:p>
    <w:p w:rsidR="000E6386" w:rsidRPr="005D7C30" w:rsidRDefault="000E6386" w:rsidP="000E6386">
      <w:pPr>
        <w:autoSpaceDE w:val="0"/>
        <w:autoSpaceDN w:val="0"/>
        <w:adjustRightInd w:val="0"/>
      </w:pPr>
      <w:r w:rsidRPr="005D7C30">
        <w:t xml:space="preserve">ANDRADE, M. M. </w:t>
      </w:r>
      <w:r w:rsidRPr="005D7C30">
        <w:rPr>
          <w:b/>
          <w:bCs/>
        </w:rPr>
        <w:t xml:space="preserve">Introdução à metodologia do trabalho científico. </w:t>
      </w:r>
      <w:r w:rsidRPr="005D7C30">
        <w:t xml:space="preserve">10. </w:t>
      </w:r>
      <w:proofErr w:type="gramStart"/>
      <w:r w:rsidRPr="005D7C30">
        <w:t>ed.</w:t>
      </w:r>
      <w:proofErr w:type="gramEnd"/>
      <w:r w:rsidR="00397CE1" w:rsidRPr="005D7C30">
        <w:t xml:space="preserve"> São Paulo: </w:t>
      </w:r>
      <w:r w:rsidR="00723932" w:rsidRPr="005D7C30">
        <w:t>Atlas, 2010.</w:t>
      </w:r>
      <w:r w:rsidR="00C820B5" w:rsidRPr="005D7C30">
        <w:t xml:space="preserve"> </w:t>
      </w:r>
      <w:proofErr w:type="gramStart"/>
      <w:r w:rsidR="00C820B5" w:rsidRPr="005D7C30">
        <w:t>p.</w:t>
      </w:r>
      <w:proofErr w:type="gramEnd"/>
      <w:r w:rsidR="00C820B5" w:rsidRPr="005D7C30">
        <w:t xml:space="preserve"> 6.</w:t>
      </w:r>
    </w:p>
    <w:p w:rsidR="000E6386" w:rsidRPr="005D7C30" w:rsidRDefault="000E6386" w:rsidP="000E6386">
      <w:pPr>
        <w:autoSpaceDE w:val="0"/>
        <w:autoSpaceDN w:val="0"/>
        <w:adjustRightInd w:val="0"/>
      </w:pPr>
    </w:p>
    <w:p w:rsidR="000E6386" w:rsidRPr="005D7C30" w:rsidRDefault="000E6386" w:rsidP="000E6386">
      <w:pPr>
        <w:autoSpaceDE w:val="0"/>
        <w:autoSpaceDN w:val="0"/>
        <w:adjustRightInd w:val="0"/>
      </w:pPr>
    </w:p>
    <w:p w:rsidR="000E6386" w:rsidRPr="005D7C30" w:rsidRDefault="000E6386" w:rsidP="000E6386">
      <w:pPr>
        <w:autoSpaceDE w:val="0"/>
        <w:autoSpaceDN w:val="0"/>
        <w:adjustRightInd w:val="0"/>
      </w:pPr>
      <w:r w:rsidRPr="005D7C30">
        <w:t xml:space="preserve">BRASIL. </w:t>
      </w:r>
      <w:r w:rsidRPr="005D7C30">
        <w:rPr>
          <w:b/>
          <w:bCs/>
        </w:rPr>
        <w:t>Resolução 02 de 1996 do Conselho Superior de Ensino Pesquisa e Extensão (CONSEPE).</w:t>
      </w:r>
      <w:r w:rsidRPr="005D7C30">
        <w:t xml:space="preserve"> </w:t>
      </w:r>
      <w:r w:rsidRPr="005D7C30">
        <w:rPr>
          <w:color w:val="000000"/>
        </w:rPr>
        <w:t>Regulamenta o Programa de Monitoria para os cursos de graduação da UFPB</w:t>
      </w:r>
      <w:r w:rsidRPr="005D7C30">
        <w:t>. João Pessoa, 1996.</w:t>
      </w:r>
    </w:p>
    <w:p w:rsidR="000E6386" w:rsidRPr="005D7C30" w:rsidRDefault="000E6386" w:rsidP="000E6386">
      <w:pPr>
        <w:autoSpaceDE w:val="0"/>
        <w:autoSpaceDN w:val="0"/>
        <w:adjustRightInd w:val="0"/>
      </w:pPr>
    </w:p>
    <w:p w:rsidR="000E6386" w:rsidRPr="005D7C30" w:rsidRDefault="000E6386" w:rsidP="000E6386">
      <w:pPr>
        <w:autoSpaceDE w:val="0"/>
        <w:autoSpaceDN w:val="0"/>
        <w:adjustRightInd w:val="0"/>
      </w:pPr>
    </w:p>
    <w:p w:rsidR="000E6386" w:rsidRPr="005D7C30" w:rsidRDefault="000E6386" w:rsidP="000E6386">
      <w:pPr>
        <w:autoSpaceDE w:val="0"/>
        <w:autoSpaceDN w:val="0"/>
        <w:adjustRightInd w:val="0"/>
      </w:pPr>
      <w:r w:rsidRPr="005D7C30">
        <w:t xml:space="preserve">PRODANOV, C. C.; FREITAS, E. C. </w:t>
      </w:r>
      <w:r w:rsidRPr="005D7C30">
        <w:rPr>
          <w:b/>
          <w:bCs/>
        </w:rPr>
        <w:t>Metodologia do trabalho científico:</w:t>
      </w:r>
      <w:r w:rsidRPr="005D7C30">
        <w:t xml:space="preserve"> métodos e técnicas de pesquisa e do trabalho acadêmico. 2. </w:t>
      </w:r>
      <w:proofErr w:type="gramStart"/>
      <w:r w:rsidRPr="005D7C30">
        <w:t>ed.</w:t>
      </w:r>
      <w:proofErr w:type="gramEnd"/>
      <w:r w:rsidRPr="005D7C30">
        <w:t xml:space="preserve"> Novo Hamburgo: </w:t>
      </w:r>
      <w:proofErr w:type="spellStart"/>
      <w:r w:rsidRPr="005D7C30">
        <w:t>Feevale</w:t>
      </w:r>
      <w:proofErr w:type="spellEnd"/>
      <w:r w:rsidRPr="005D7C30">
        <w:t>, 2013.</w:t>
      </w:r>
      <w:r w:rsidR="00C820B5" w:rsidRPr="005D7C30">
        <w:t xml:space="preserve"> 276 p.</w:t>
      </w:r>
    </w:p>
    <w:p w:rsidR="000E6386" w:rsidRDefault="000E6386" w:rsidP="000E6386">
      <w:pPr>
        <w:autoSpaceDE w:val="0"/>
        <w:autoSpaceDN w:val="0"/>
        <w:adjustRightInd w:val="0"/>
      </w:pPr>
    </w:p>
    <w:p w:rsidR="000E6386" w:rsidRDefault="000E6386" w:rsidP="000E6386">
      <w:pPr>
        <w:autoSpaceDE w:val="0"/>
        <w:autoSpaceDN w:val="0"/>
        <w:adjustRightInd w:val="0"/>
        <w:jc w:val="both"/>
      </w:pPr>
      <w:r>
        <w:t xml:space="preserve"> </w:t>
      </w:r>
    </w:p>
    <w:p w:rsidR="000E6386" w:rsidRDefault="000E6386" w:rsidP="000E6386">
      <w:pPr>
        <w:autoSpaceDE w:val="0"/>
        <w:autoSpaceDN w:val="0"/>
        <w:adjustRightInd w:val="0"/>
        <w:spacing w:after="200" w:line="360" w:lineRule="auto"/>
        <w:jc w:val="both"/>
      </w:pPr>
    </w:p>
    <w:p w:rsidR="00815A83" w:rsidRDefault="00815A83"/>
    <w:sectPr w:rsidR="00815A83" w:rsidSect="005D7C30">
      <w:headerReference w:type="default" r:id="rId10"/>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B52" w:rsidRDefault="00127B52" w:rsidP="003C77CE">
      <w:r>
        <w:separator/>
      </w:r>
    </w:p>
  </w:endnote>
  <w:endnote w:type="continuationSeparator" w:id="0">
    <w:p w:rsidR="00127B52" w:rsidRDefault="00127B52" w:rsidP="003C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32" w:rsidRDefault="00D32E32" w:rsidP="00670DFA">
    <w:pPr>
      <w:pStyle w:val="Rodap"/>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B52" w:rsidRDefault="00127B52" w:rsidP="003C77CE">
      <w:r>
        <w:separator/>
      </w:r>
    </w:p>
  </w:footnote>
  <w:footnote w:type="continuationSeparator" w:id="0">
    <w:p w:rsidR="00127B52" w:rsidRDefault="00127B52" w:rsidP="003C7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CE" w:rsidRDefault="003C77CE">
    <w:pPr>
      <w:pStyle w:val="Cabealho"/>
      <w:jc w:val="right"/>
    </w:pPr>
  </w:p>
  <w:p w:rsidR="003C77CE" w:rsidRDefault="003C77C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7B" w:rsidRDefault="00127B52">
    <w:pPr>
      <w:pStyle w:val="Cabealho"/>
      <w:jc w:val="right"/>
    </w:pPr>
    <w:r>
      <w:fldChar w:fldCharType="begin"/>
    </w:r>
    <w:r>
      <w:instrText xml:space="preserve"> PAGE   \* MERGEFORMAT </w:instrText>
    </w:r>
    <w:r>
      <w:fldChar w:fldCharType="separate"/>
    </w:r>
    <w:r w:rsidR="008A442F">
      <w:rPr>
        <w:noProof/>
      </w:rPr>
      <w:t>4</w:t>
    </w:r>
    <w:r>
      <w:rPr>
        <w:noProof/>
      </w:rPr>
      <w:fldChar w:fldCharType="end"/>
    </w:r>
  </w:p>
  <w:p w:rsidR="000A54AF" w:rsidRDefault="000A54A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86"/>
    <w:rsid w:val="000036A8"/>
    <w:rsid w:val="0001304B"/>
    <w:rsid w:val="00016CB8"/>
    <w:rsid w:val="00033250"/>
    <w:rsid w:val="00037604"/>
    <w:rsid w:val="00047A5F"/>
    <w:rsid w:val="00052C0F"/>
    <w:rsid w:val="000535DE"/>
    <w:rsid w:val="00073B6A"/>
    <w:rsid w:val="00082B88"/>
    <w:rsid w:val="000A0ED8"/>
    <w:rsid w:val="000A413B"/>
    <w:rsid w:val="000A54AF"/>
    <w:rsid w:val="000A57A6"/>
    <w:rsid w:val="000A6E13"/>
    <w:rsid w:val="000B1C40"/>
    <w:rsid w:val="000B1D48"/>
    <w:rsid w:val="000B4C31"/>
    <w:rsid w:val="000B6270"/>
    <w:rsid w:val="000B7C7B"/>
    <w:rsid w:val="000B7CAE"/>
    <w:rsid w:val="000C3F41"/>
    <w:rsid w:val="000D4F5B"/>
    <w:rsid w:val="000E5106"/>
    <w:rsid w:val="000E6386"/>
    <w:rsid w:val="000F5451"/>
    <w:rsid w:val="00105068"/>
    <w:rsid w:val="00116CD4"/>
    <w:rsid w:val="00121DF2"/>
    <w:rsid w:val="00123170"/>
    <w:rsid w:val="00127B52"/>
    <w:rsid w:val="001320AC"/>
    <w:rsid w:val="0014341B"/>
    <w:rsid w:val="00144C3B"/>
    <w:rsid w:val="00155A66"/>
    <w:rsid w:val="001570EE"/>
    <w:rsid w:val="00165401"/>
    <w:rsid w:val="001671C0"/>
    <w:rsid w:val="00170088"/>
    <w:rsid w:val="001703B7"/>
    <w:rsid w:val="00175FD7"/>
    <w:rsid w:val="0017697D"/>
    <w:rsid w:val="001818F4"/>
    <w:rsid w:val="00193163"/>
    <w:rsid w:val="00193D36"/>
    <w:rsid w:val="001A191C"/>
    <w:rsid w:val="001A5546"/>
    <w:rsid w:val="001B3DF7"/>
    <w:rsid w:val="001B7475"/>
    <w:rsid w:val="001D4E06"/>
    <w:rsid w:val="001D678B"/>
    <w:rsid w:val="001F2A32"/>
    <w:rsid w:val="00203C77"/>
    <w:rsid w:val="002055F9"/>
    <w:rsid w:val="00221FB2"/>
    <w:rsid w:val="00227F71"/>
    <w:rsid w:val="00233EFB"/>
    <w:rsid w:val="00237127"/>
    <w:rsid w:val="002376A5"/>
    <w:rsid w:val="00241595"/>
    <w:rsid w:val="00241B57"/>
    <w:rsid w:val="00242562"/>
    <w:rsid w:val="0024661C"/>
    <w:rsid w:val="002579E7"/>
    <w:rsid w:val="00265533"/>
    <w:rsid w:val="00272C61"/>
    <w:rsid w:val="0028637F"/>
    <w:rsid w:val="00287526"/>
    <w:rsid w:val="00291388"/>
    <w:rsid w:val="002A6615"/>
    <w:rsid w:val="002C688B"/>
    <w:rsid w:val="002C68ED"/>
    <w:rsid w:val="002C6D00"/>
    <w:rsid w:val="002D057D"/>
    <w:rsid w:val="002E229D"/>
    <w:rsid w:val="002E53C2"/>
    <w:rsid w:val="002F29EF"/>
    <w:rsid w:val="002F6F6B"/>
    <w:rsid w:val="003012E1"/>
    <w:rsid w:val="003204D1"/>
    <w:rsid w:val="00323BA8"/>
    <w:rsid w:val="00330A67"/>
    <w:rsid w:val="003328D7"/>
    <w:rsid w:val="00351179"/>
    <w:rsid w:val="00352817"/>
    <w:rsid w:val="003539AD"/>
    <w:rsid w:val="003646CD"/>
    <w:rsid w:val="003648D0"/>
    <w:rsid w:val="0037170B"/>
    <w:rsid w:val="00386C16"/>
    <w:rsid w:val="00397CE1"/>
    <w:rsid w:val="003A092B"/>
    <w:rsid w:val="003A503E"/>
    <w:rsid w:val="003A71A6"/>
    <w:rsid w:val="003C0501"/>
    <w:rsid w:val="003C17F2"/>
    <w:rsid w:val="003C4352"/>
    <w:rsid w:val="003C77CE"/>
    <w:rsid w:val="003E2F48"/>
    <w:rsid w:val="003E5890"/>
    <w:rsid w:val="003F0BDB"/>
    <w:rsid w:val="003F1F71"/>
    <w:rsid w:val="003F4031"/>
    <w:rsid w:val="003F696D"/>
    <w:rsid w:val="004007CE"/>
    <w:rsid w:val="00413F2A"/>
    <w:rsid w:val="0041494E"/>
    <w:rsid w:val="00421C7E"/>
    <w:rsid w:val="00423D64"/>
    <w:rsid w:val="004270E6"/>
    <w:rsid w:val="004313EC"/>
    <w:rsid w:val="00444ABE"/>
    <w:rsid w:val="004455A5"/>
    <w:rsid w:val="004468E9"/>
    <w:rsid w:val="00452350"/>
    <w:rsid w:val="004547F7"/>
    <w:rsid w:val="0045767D"/>
    <w:rsid w:val="00474845"/>
    <w:rsid w:val="00483C32"/>
    <w:rsid w:val="00491C7C"/>
    <w:rsid w:val="004A4900"/>
    <w:rsid w:val="004A7F8B"/>
    <w:rsid w:val="004B0105"/>
    <w:rsid w:val="004C63FF"/>
    <w:rsid w:val="004D004B"/>
    <w:rsid w:val="004D4539"/>
    <w:rsid w:val="004E79AC"/>
    <w:rsid w:val="004F58C0"/>
    <w:rsid w:val="004F5C7E"/>
    <w:rsid w:val="00504B76"/>
    <w:rsid w:val="005102DB"/>
    <w:rsid w:val="0051477D"/>
    <w:rsid w:val="00523317"/>
    <w:rsid w:val="0052540D"/>
    <w:rsid w:val="005349EC"/>
    <w:rsid w:val="00542465"/>
    <w:rsid w:val="00546712"/>
    <w:rsid w:val="00547C47"/>
    <w:rsid w:val="005506A5"/>
    <w:rsid w:val="00550F65"/>
    <w:rsid w:val="005573C2"/>
    <w:rsid w:val="00560A26"/>
    <w:rsid w:val="0057034E"/>
    <w:rsid w:val="0057267E"/>
    <w:rsid w:val="0058313C"/>
    <w:rsid w:val="00586EA3"/>
    <w:rsid w:val="00595A95"/>
    <w:rsid w:val="00595ADF"/>
    <w:rsid w:val="005A5ADD"/>
    <w:rsid w:val="005B2E86"/>
    <w:rsid w:val="005C72F6"/>
    <w:rsid w:val="005D06A5"/>
    <w:rsid w:val="005D0E10"/>
    <w:rsid w:val="005D2F21"/>
    <w:rsid w:val="005D4D5F"/>
    <w:rsid w:val="005D7C30"/>
    <w:rsid w:val="005E3347"/>
    <w:rsid w:val="005E6C83"/>
    <w:rsid w:val="005F3999"/>
    <w:rsid w:val="005F40DE"/>
    <w:rsid w:val="005F6051"/>
    <w:rsid w:val="00600F0A"/>
    <w:rsid w:val="00603FAF"/>
    <w:rsid w:val="0061511E"/>
    <w:rsid w:val="00620729"/>
    <w:rsid w:val="00621761"/>
    <w:rsid w:val="00624DDA"/>
    <w:rsid w:val="006316A6"/>
    <w:rsid w:val="00633876"/>
    <w:rsid w:val="006431FD"/>
    <w:rsid w:val="00667D3A"/>
    <w:rsid w:val="00670DFA"/>
    <w:rsid w:val="00690459"/>
    <w:rsid w:val="00690803"/>
    <w:rsid w:val="00694127"/>
    <w:rsid w:val="00695D94"/>
    <w:rsid w:val="006A165B"/>
    <w:rsid w:val="006A4501"/>
    <w:rsid w:val="006B061A"/>
    <w:rsid w:val="006B11D0"/>
    <w:rsid w:val="006B75F4"/>
    <w:rsid w:val="006C081E"/>
    <w:rsid w:val="006C4168"/>
    <w:rsid w:val="006C70A2"/>
    <w:rsid w:val="006D2BEF"/>
    <w:rsid w:val="006E5825"/>
    <w:rsid w:val="006F2903"/>
    <w:rsid w:val="006F76D4"/>
    <w:rsid w:val="00723932"/>
    <w:rsid w:val="00724A1E"/>
    <w:rsid w:val="0072587D"/>
    <w:rsid w:val="00735335"/>
    <w:rsid w:val="00740F91"/>
    <w:rsid w:val="007454CD"/>
    <w:rsid w:val="007535FA"/>
    <w:rsid w:val="00762630"/>
    <w:rsid w:val="00767EEA"/>
    <w:rsid w:val="0077025F"/>
    <w:rsid w:val="00780BAA"/>
    <w:rsid w:val="00791C75"/>
    <w:rsid w:val="007A47FF"/>
    <w:rsid w:val="007A5042"/>
    <w:rsid w:val="007B0964"/>
    <w:rsid w:val="007C140C"/>
    <w:rsid w:val="007D2646"/>
    <w:rsid w:val="007E5996"/>
    <w:rsid w:val="007F4F42"/>
    <w:rsid w:val="00803331"/>
    <w:rsid w:val="008101C0"/>
    <w:rsid w:val="0081472E"/>
    <w:rsid w:val="00815A83"/>
    <w:rsid w:val="008227D5"/>
    <w:rsid w:val="00827150"/>
    <w:rsid w:val="008375D5"/>
    <w:rsid w:val="008622C7"/>
    <w:rsid w:val="00864036"/>
    <w:rsid w:val="00880F62"/>
    <w:rsid w:val="00881F14"/>
    <w:rsid w:val="00885D57"/>
    <w:rsid w:val="00895F1E"/>
    <w:rsid w:val="008A0C3E"/>
    <w:rsid w:val="008A442F"/>
    <w:rsid w:val="008A5277"/>
    <w:rsid w:val="008B26F4"/>
    <w:rsid w:val="008B300F"/>
    <w:rsid w:val="008B3D1A"/>
    <w:rsid w:val="008B707A"/>
    <w:rsid w:val="008C1BC1"/>
    <w:rsid w:val="008D00F4"/>
    <w:rsid w:val="008D054B"/>
    <w:rsid w:val="008D18C4"/>
    <w:rsid w:val="008D3702"/>
    <w:rsid w:val="008D461D"/>
    <w:rsid w:val="008D46AE"/>
    <w:rsid w:val="008D5EA2"/>
    <w:rsid w:val="008E2933"/>
    <w:rsid w:val="008F1659"/>
    <w:rsid w:val="009030F6"/>
    <w:rsid w:val="00913D54"/>
    <w:rsid w:val="00914B0B"/>
    <w:rsid w:val="00926A51"/>
    <w:rsid w:val="00933C1A"/>
    <w:rsid w:val="00935655"/>
    <w:rsid w:val="00937D92"/>
    <w:rsid w:val="0094279C"/>
    <w:rsid w:val="00942F23"/>
    <w:rsid w:val="00951C98"/>
    <w:rsid w:val="00953F84"/>
    <w:rsid w:val="009546B2"/>
    <w:rsid w:val="00966DF6"/>
    <w:rsid w:val="0097574A"/>
    <w:rsid w:val="00983241"/>
    <w:rsid w:val="009974E7"/>
    <w:rsid w:val="00997F40"/>
    <w:rsid w:val="009A2663"/>
    <w:rsid w:val="009B55D2"/>
    <w:rsid w:val="009C281E"/>
    <w:rsid w:val="009C5C61"/>
    <w:rsid w:val="009D4BFC"/>
    <w:rsid w:val="009E2551"/>
    <w:rsid w:val="009E315F"/>
    <w:rsid w:val="009E6367"/>
    <w:rsid w:val="009E7B0E"/>
    <w:rsid w:val="009F2814"/>
    <w:rsid w:val="009F2F63"/>
    <w:rsid w:val="009F347D"/>
    <w:rsid w:val="009F6704"/>
    <w:rsid w:val="009F7062"/>
    <w:rsid w:val="00A01555"/>
    <w:rsid w:val="00A047AD"/>
    <w:rsid w:val="00A06428"/>
    <w:rsid w:val="00A104A6"/>
    <w:rsid w:val="00A26DEA"/>
    <w:rsid w:val="00A30C4F"/>
    <w:rsid w:val="00A32E11"/>
    <w:rsid w:val="00A34473"/>
    <w:rsid w:val="00A43378"/>
    <w:rsid w:val="00A47099"/>
    <w:rsid w:val="00A51405"/>
    <w:rsid w:val="00A55092"/>
    <w:rsid w:val="00A646CA"/>
    <w:rsid w:val="00A74686"/>
    <w:rsid w:val="00A74F58"/>
    <w:rsid w:val="00A7735A"/>
    <w:rsid w:val="00A80E52"/>
    <w:rsid w:val="00A8780F"/>
    <w:rsid w:val="00A92396"/>
    <w:rsid w:val="00AA0195"/>
    <w:rsid w:val="00AA0E5C"/>
    <w:rsid w:val="00AA5E6F"/>
    <w:rsid w:val="00AB2DA3"/>
    <w:rsid w:val="00AB76D0"/>
    <w:rsid w:val="00AC5D80"/>
    <w:rsid w:val="00AE0340"/>
    <w:rsid w:val="00AE75DA"/>
    <w:rsid w:val="00AE7908"/>
    <w:rsid w:val="00AF6668"/>
    <w:rsid w:val="00B04901"/>
    <w:rsid w:val="00B25F65"/>
    <w:rsid w:val="00B33193"/>
    <w:rsid w:val="00B37D7B"/>
    <w:rsid w:val="00B45055"/>
    <w:rsid w:val="00B47159"/>
    <w:rsid w:val="00B47EC7"/>
    <w:rsid w:val="00B5341B"/>
    <w:rsid w:val="00B655A3"/>
    <w:rsid w:val="00B7306C"/>
    <w:rsid w:val="00B7618F"/>
    <w:rsid w:val="00B9121D"/>
    <w:rsid w:val="00B96ED4"/>
    <w:rsid w:val="00BA4AF2"/>
    <w:rsid w:val="00BD2F12"/>
    <w:rsid w:val="00BD3CC9"/>
    <w:rsid w:val="00BD68FE"/>
    <w:rsid w:val="00BE189A"/>
    <w:rsid w:val="00BF3B2D"/>
    <w:rsid w:val="00BF6A72"/>
    <w:rsid w:val="00BF6D3F"/>
    <w:rsid w:val="00C00FFF"/>
    <w:rsid w:val="00C0553F"/>
    <w:rsid w:val="00C065BD"/>
    <w:rsid w:val="00C12A2A"/>
    <w:rsid w:val="00C16C43"/>
    <w:rsid w:val="00C21710"/>
    <w:rsid w:val="00C425C9"/>
    <w:rsid w:val="00C51FD0"/>
    <w:rsid w:val="00C53654"/>
    <w:rsid w:val="00C5768C"/>
    <w:rsid w:val="00C7287D"/>
    <w:rsid w:val="00C820B5"/>
    <w:rsid w:val="00CA259A"/>
    <w:rsid w:val="00CA7DCB"/>
    <w:rsid w:val="00CB2B37"/>
    <w:rsid w:val="00CB300C"/>
    <w:rsid w:val="00CB3A02"/>
    <w:rsid w:val="00CB7411"/>
    <w:rsid w:val="00CD1A00"/>
    <w:rsid w:val="00CD60FA"/>
    <w:rsid w:val="00CE7BC5"/>
    <w:rsid w:val="00D008B5"/>
    <w:rsid w:val="00D11E64"/>
    <w:rsid w:val="00D17838"/>
    <w:rsid w:val="00D228F8"/>
    <w:rsid w:val="00D268C0"/>
    <w:rsid w:val="00D320A9"/>
    <w:rsid w:val="00D32E32"/>
    <w:rsid w:val="00D56C19"/>
    <w:rsid w:val="00D651FF"/>
    <w:rsid w:val="00D91083"/>
    <w:rsid w:val="00D91E27"/>
    <w:rsid w:val="00DB3F08"/>
    <w:rsid w:val="00DB6152"/>
    <w:rsid w:val="00DC2C05"/>
    <w:rsid w:val="00DC3651"/>
    <w:rsid w:val="00DC5826"/>
    <w:rsid w:val="00DC692E"/>
    <w:rsid w:val="00DD0511"/>
    <w:rsid w:val="00DD330D"/>
    <w:rsid w:val="00DD7998"/>
    <w:rsid w:val="00DE615A"/>
    <w:rsid w:val="00DE7547"/>
    <w:rsid w:val="00DF2C15"/>
    <w:rsid w:val="00DF4432"/>
    <w:rsid w:val="00DF58AA"/>
    <w:rsid w:val="00E01EA8"/>
    <w:rsid w:val="00E01F89"/>
    <w:rsid w:val="00E048FB"/>
    <w:rsid w:val="00E1084B"/>
    <w:rsid w:val="00E12603"/>
    <w:rsid w:val="00E1422B"/>
    <w:rsid w:val="00E15B98"/>
    <w:rsid w:val="00E254B3"/>
    <w:rsid w:val="00E35DC9"/>
    <w:rsid w:val="00E3699F"/>
    <w:rsid w:val="00E420F9"/>
    <w:rsid w:val="00E46383"/>
    <w:rsid w:val="00E46922"/>
    <w:rsid w:val="00E53225"/>
    <w:rsid w:val="00E534F7"/>
    <w:rsid w:val="00E600B0"/>
    <w:rsid w:val="00E626A4"/>
    <w:rsid w:val="00E66643"/>
    <w:rsid w:val="00E75413"/>
    <w:rsid w:val="00E823A1"/>
    <w:rsid w:val="00E8384B"/>
    <w:rsid w:val="00E840E7"/>
    <w:rsid w:val="00E87C0C"/>
    <w:rsid w:val="00E91236"/>
    <w:rsid w:val="00E96B36"/>
    <w:rsid w:val="00EA15A8"/>
    <w:rsid w:val="00EB3150"/>
    <w:rsid w:val="00EB3379"/>
    <w:rsid w:val="00EB59C4"/>
    <w:rsid w:val="00EC1375"/>
    <w:rsid w:val="00ED2862"/>
    <w:rsid w:val="00ED5387"/>
    <w:rsid w:val="00EE732D"/>
    <w:rsid w:val="00EE78D3"/>
    <w:rsid w:val="00F02461"/>
    <w:rsid w:val="00F10E88"/>
    <w:rsid w:val="00F141C4"/>
    <w:rsid w:val="00F305D8"/>
    <w:rsid w:val="00F32948"/>
    <w:rsid w:val="00F52F83"/>
    <w:rsid w:val="00F5604A"/>
    <w:rsid w:val="00F63B53"/>
    <w:rsid w:val="00F66C41"/>
    <w:rsid w:val="00F87536"/>
    <w:rsid w:val="00F93E02"/>
    <w:rsid w:val="00FA3413"/>
    <w:rsid w:val="00FA5D7B"/>
    <w:rsid w:val="00FA7851"/>
    <w:rsid w:val="00FB0272"/>
    <w:rsid w:val="00FB33B9"/>
    <w:rsid w:val="00FC03FD"/>
    <w:rsid w:val="00FC1EC5"/>
    <w:rsid w:val="00FC65DB"/>
    <w:rsid w:val="00FE1C12"/>
    <w:rsid w:val="00FE6172"/>
    <w:rsid w:val="00FF15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386"/>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C77CE"/>
    <w:pPr>
      <w:tabs>
        <w:tab w:val="center" w:pos="4252"/>
        <w:tab w:val="right" w:pos="8504"/>
      </w:tabs>
    </w:pPr>
  </w:style>
  <w:style w:type="character" w:customStyle="1" w:styleId="CabealhoChar">
    <w:name w:val="Cabeçalho Char"/>
    <w:basedOn w:val="Fontepargpadro"/>
    <w:link w:val="Cabealho"/>
    <w:uiPriority w:val="99"/>
    <w:rsid w:val="003C77CE"/>
    <w:rPr>
      <w:sz w:val="24"/>
      <w:szCs w:val="24"/>
    </w:rPr>
  </w:style>
  <w:style w:type="paragraph" w:styleId="Rodap">
    <w:name w:val="footer"/>
    <w:basedOn w:val="Normal"/>
    <w:link w:val="RodapChar"/>
    <w:uiPriority w:val="99"/>
    <w:rsid w:val="003C77CE"/>
    <w:pPr>
      <w:tabs>
        <w:tab w:val="center" w:pos="4252"/>
        <w:tab w:val="right" w:pos="8504"/>
      </w:tabs>
    </w:pPr>
  </w:style>
  <w:style w:type="character" w:customStyle="1" w:styleId="RodapChar">
    <w:name w:val="Rodapé Char"/>
    <w:basedOn w:val="Fontepargpadro"/>
    <w:link w:val="Rodap"/>
    <w:uiPriority w:val="99"/>
    <w:rsid w:val="003C77CE"/>
    <w:rPr>
      <w:sz w:val="24"/>
      <w:szCs w:val="24"/>
    </w:rPr>
  </w:style>
  <w:style w:type="paragraph" w:styleId="Textodebalo">
    <w:name w:val="Balloon Text"/>
    <w:basedOn w:val="Normal"/>
    <w:link w:val="TextodebaloChar"/>
    <w:rsid w:val="00D32E32"/>
    <w:rPr>
      <w:rFonts w:ascii="Tahoma" w:hAnsi="Tahoma" w:cs="Tahoma"/>
      <w:sz w:val="16"/>
      <w:szCs w:val="16"/>
    </w:rPr>
  </w:style>
  <w:style w:type="character" w:customStyle="1" w:styleId="TextodebaloChar">
    <w:name w:val="Texto de balão Char"/>
    <w:basedOn w:val="Fontepargpadro"/>
    <w:link w:val="Textodebalo"/>
    <w:rsid w:val="00D32E32"/>
    <w:rPr>
      <w:rFonts w:ascii="Tahoma" w:hAnsi="Tahoma" w:cs="Tahoma"/>
      <w:sz w:val="16"/>
      <w:szCs w:val="16"/>
    </w:rPr>
  </w:style>
  <w:style w:type="character" w:styleId="Hyperlink">
    <w:name w:val="Hyperlink"/>
    <w:basedOn w:val="Fontepargpadro"/>
    <w:rsid w:val="00D32E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386"/>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C77CE"/>
    <w:pPr>
      <w:tabs>
        <w:tab w:val="center" w:pos="4252"/>
        <w:tab w:val="right" w:pos="8504"/>
      </w:tabs>
    </w:pPr>
  </w:style>
  <w:style w:type="character" w:customStyle="1" w:styleId="CabealhoChar">
    <w:name w:val="Cabeçalho Char"/>
    <w:basedOn w:val="Fontepargpadro"/>
    <w:link w:val="Cabealho"/>
    <w:uiPriority w:val="99"/>
    <w:rsid w:val="003C77CE"/>
    <w:rPr>
      <w:sz w:val="24"/>
      <w:szCs w:val="24"/>
    </w:rPr>
  </w:style>
  <w:style w:type="paragraph" w:styleId="Rodap">
    <w:name w:val="footer"/>
    <w:basedOn w:val="Normal"/>
    <w:link w:val="RodapChar"/>
    <w:uiPriority w:val="99"/>
    <w:rsid w:val="003C77CE"/>
    <w:pPr>
      <w:tabs>
        <w:tab w:val="center" w:pos="4252"/>
        <w:tab w:val="right" w:pos="8504"/>
      </w:tabs>
    </w:pPr>
  </w:style>
  <w:style w:type="character" w:customStyle="1" w:styleId="RodapChar">
    <w:name w:val="Rodapé Char"/>
    <w:basedOn w:val="Fontepargpadro"/>
    <w:link w:val="Rodap"/>
    <w:uiPriority w:val="99"/>
    <w:rsid w:val="003C77CE"/>
    <w:rPr>
      <w:sz w:val="24"/>
      <w:szCs w:val="24"/>
    </w:rPr>
  </w:style>
  <w:style w:type="paragraph" w:styleId="Textodebalo">
    <w:name w:val="Balloon Text"/>
    <w:basedOn w:val="Normal"/>
    <w:link w:val="TextodebaloChar"/>
    <w:rsid w:val="00D32E32"/>
    <w:rPr>
      <w:rFonts w:ascii="Tahoma" w:hAnsi="Tahoma" w:cs="Tahoma"/>
      <w:sz w:val="16"/>
      <w:szCs w:val="16"/>
    </w:rPr>
  </w:style>
  <w:style w:type="character" w:customStyle="1" w:styleId="TextodebaloChar">
    <w:name w:val="Texto de balão Char"/>
    <w:basedOn w:val="Fontepargpadro"/>
    <w:link w:val="Textodebalo"/>
    <w:rsid w:val="00D32E32"/>
    <w:rPr>
      <w:rFonts w:ascii="Tahoma" w:hAnsi="Tahoma" w:cs="Tahoma"/>
      <w:sz w:val="16"/>
      <w:szCs w:val="16"/>
    </w:rPr>
  </w:style>
  <w:style w:type="character" w:styleId="Hyperlink">
    <w:name w:val="Hyperlink"/>
    <w:basedOn w:val="Fontepargpadro"/>
    <w:rsid w:val="00D32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AC02B-B3B3-419B-A9CD-0F0AC69A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6348</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ANÁLISE DAS CONTRIBUIÇÕES DA MONITORIA NO DESENVOLVIMENTO DA PESQUISA E INCENTIVO À DOCÊNCIA: tecendo comentários</vt:lpstr>
    </vt:vector>
  </TitlesOfParts>
  <Company>Grizli777</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ANÁLISE DAS CONTRIBUIÇÕES DA MONITORIA NO DESENVOLVIMENTO DA PESQUISA E INCENTIVO À DOCÊNCIA: tecendo comentários</dc:title>
  <dc:creator>Cibelly</dc:creator>
  <cp:lastModifiedBy>g</cp:lastModifiedBy>
  <cp:revision>2</cp:revision>
  <dcterms:created xsi:type="dcterms:W3CDTF">2013-10-15T13:54:00Z</dcterms:created>
  <dcterms:modified xsi:type="dcterms:W3CDTF">2013-10-15T13:54:00Z</dcterms:modified>
</cp:coreProperties>
</file>